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E9F" w14:textId="15E566B9" w:rsidR="00764964" w:rsidRPr="0083271E" w:rsidRDefault="00764964" w:rsidP="00764964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color w:val="EE0000"/>
          <w:kern w:val="0"/>
          <w:lang w:eastAsia="pl-PL"/>
        </w:rPr>
      </w:pPr>
      <w:r w:rsidRPr="0083271E">
        <w:rPr>
          <w:rFonts w:cstheme="minorHAnsi"/>
          <w:kern w:val="0"/>
        </w:rPr>
        <w:t>GOPS.2202.3.</w:t>
      </w:r>
      <w:r w:rsidR="00B45136" w:rsidRPr="0083271E">
        <w:rPr>
          <w:rFonts w:cstheme="minorHAnsi"/>
          <w:kern w:val="0"/>
        </w:rPr>
        <w:t>3</w:t>
      </w:r>
      <w:r w:rsidRPr="0083271E">
        <w:rPr>
          <w:rFonts w:cstheme="minorHAnsi"/>
          <w:kern w:val="0"/>
        </w:rPr>
        <w:t>.2026</w:t>
      </w:r>
      <w:r w:rsidRPr="0083271E">
        <w:rPr>
          <w:rFonts w:cstheme="minorHAnsi"/>
          <w:color w:val="EE0000"/>
          <w:kern w:val="0"/>
          <w:lang w:eastAsia="pl-PL"/>
        </w:rPr>
        <w:tab/>
      </w:r>
      <w:r w:rsidRPr="0083271E">
        <w:rPr>
          <w:rFonts w:cstheme="minorHAnsi"/>
          <w:b/>
          <w:i/>
          <w:kern w:val="0"/>
          <w:lang w:eastAsia="pl-PL"/>
        </w:rPr>
        <w:t>Załącznik nr 1</w:t>
      </w:r>
    </w:p>
    <w:p w14:paraId="47DB3E6E" w14:textId="77777777" w:rsidR="00764964" w:rsidRPr="0083271E" w:rsidRDefault="00764964" w:rsidP="00764964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83271E">
        <w:rPr>
          <w:rFonts w:cstheme="minorHAnsi"/>
          <w:b/>
          <w:kern w:val="0"/>
          <w:lang w:eastAsia="pl-PL"/>
        </w:rPr>
        <w:t>SZCZEGÓŁOWY OPIS PRZEDMIOTU ZAMÓWIENIA</w:t>
      </w:r>
    </w:p>
    <w:p w14:paraId="40F6E58A" w14:textId="77777777" w:rsidR="00764964" w:rsidRPr="0083271E" w:rsidRDefault="00764964" w:rsidP="00764964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Opis i wymagania związane z realizacją przedmiotu zamówienia</w:t>
      </w:r>
      <w:r w:rsidRPr="0083271E">
        <w:rPr>
          <w:rFonts w:eastAsia="Calibri" w:cstheme="minorHAnsi"/>
          <w:kern w:val="1"/>
          <w:lang w:eastAsia="ar-SA"/>
        </w:rPr>
        <w:t>:</w:t>
      </w:r>
    </w:p>
    <w:p w14:paraId="5AD0C855" w14:textId="28264939" w:rsidR="00764964" w:rsidRPr="0083271E" w:rsidRDefault="00764964" w:rsidP="00764964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cstheme="minorHAnsi"/>
          <w:kern w:val="0"/>
        </w:rPr>
        <w:t xml:space="preserve">Przedmiotem zamówienia jest </w:t>
      </w:r>
      <w:r w:rsidRPr="0083271E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warsztatów dla </w:t>
      </w:r>
      <w:r w:rsidR="00681310" w:rsidRPr="0083271E">
        <w:rPr>
          <w:rFonts w:eastAsia="Times New Roman" w:cstheme="minorHAnsi"/>
          <w:b/>
          <w:bCs/>
          <w:kern w:val="1"/>
          <w:lang w:eastAsia="ar-SA"/>
          <w14:ligatures w14:val="none"/>
        </w:rPr>
        <w:t>dzieci</w:t>
      </w:r>
      <w:r w:rsidRPr="0083271E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</w:t>
      </w:r>
      <w:r w:rsidRPr="0083271E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83271E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2027:</w:t>
      </w:r>
    </w:p>
    <w:p w14:paraId="16A23F9F" w14:textId="2CFC0421" w:rsidR="00764964" w:rsidRPr="0083271E" w:rsidRDefault="00764964" w:rsidP="00764964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Warsztaty dla </w:t>
      </w:r>
      <w:r w:rsidR="00681310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: </w:t>
      </w:r>
      <w:r w:rsidR="00681310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Ja i moja wartość.</w:t>
      </w:r>
    </w:p>
    <w:p w14:paraId="696F68F6" w14:textId="594BC5CF" w:rsidR="00764964" w:rsidRPr="0083271E" w:rsidRDefault="00764964" w:rsidP="00764964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Warsztaty dla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: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Moje granice – twoje granice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721A9A07" w14:textId="33522483" w:rsidR="00764964" w:rsidRPr="0083271E" w:rsidRDefault="00764964" w:rsidP="00764964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Warsztaty dla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: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Zamiast złości – mocne słowa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0193F7A2" w14:textId="44058DCA" w:rsidR="00764964" w:rsidRPr="0083271E" w:rsidRDefault="00764964" w:rsidP="00764964">
      <w:pPr>
        <w:widowControl w:val="0"/>
        <w:numPr>
          <w:ilvl w:val="0"/>
          <w:numId w:val="5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Warsztaty dla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: Jak 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poradzić sobie z hejtem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15B16A2A" w14:textId="77777777" w:rsidR="00764964" w:rsidRPr="0083271E" w:rsidRDefault="00764964" w:rsidP="005544EE">
      <w:pPr>
        <w:widowControl w:val="0"/>
        <w:suppressAutoHyphens/>
        <w:spacing w:line="300" w:lineRule="exact"/>
        <w:ind w:left="1070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</w:p>
    <w:p w14:paraId="248FA359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83271E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83271E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357A483A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83271E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2F31B592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210F71C4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688C29DE" w14:textId="358C440A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r w:rsidR="00DF7594">
        <w:rPr>
          <w:rFonts w:eastAsia="SimSun" w:cstheme="minorHAnsi"/>
          <w:kern w:val="3"/>
          <w:lang w:eastAsia="zh-CN" w:bidi="hi-IN"/>
          <w14:ligatures w14:val="none"/>
        </w:rPr>
        <w:t>https://</w:t>
      </w:r>
      <w:r w:rsidRPr="0083271E">
        <w:rPr>
          <w:rFonts w:eastAsia="SimSun" w:cstheme="minorHAnsi"/>
          <w:kern w:val="3"/>
          <w:lang w:eastAsia="zh-CN" w:bidi="hi-IN"/>
          <w14:ligatures w14:val="none"/>
        </w:rPr>
        <w:t>gops-adamow.biuletyn.net</w:t>
      </w:r>
    </w:p>
    <w:p w14:paraId="642F164B" w14:textId="77777777" w:rsidR="00764964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5CF60D0E" w14:textId="77777777" w:rsidR="00DF7594" w:rsidRPr="00504282" w:rsidRDefault="00DF7594" w:rsidP="00DF7594">
      <w:pPr>
        <w:rPr>
          <w:kern w:val="0"/>
        </w:rPr>
      </w:pPr>
      <w:r w:rsidRPr="00504282">
        <w:rPr>
          <w:kern w:val="0"/>
        </w:rP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665FAE9F" w14:textId="77777777" w:rsidR="00DF7594" w:rsidRPr="00504282" w:rsidRDefault="00DF7594" w:rsidP="00DF7594">
      <w:r w:rsidRPr="00504282">
        <w:t>Cena obejmuje wszystkie koszty realizacji zadania, w tym: materiały szkoleniowe, dojazd, przygotowanie programu, przygotowanie certyfikatów/zaświadczeń.</w:t>
      </w:r>
    </w:p>
    <w:p w14:paraId="42AAD8CC" w14:textId="61120D00" w:rsidR="00DF7594" w:rsidRPr="00DF7594" w:rsidRDefault="00DF7594" w:rsidP="00DF7594">
      <w:r w:rsidRPr="00504282">
        <w:t xml:space="preserve">Po zrealizowaniu zadania Wykonawca wystawi uczestnikom certyfikaty/zaświadczenia z ukończenia szkolenia.   </w:t>
      </w:r>
    </w:p>
    <w:p w14:paraId="7D77239E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u w:val="single"/>
          <w:lang w:eastAsia="ar-SA"/>
          <w14:ligatures w14:val="none"/>
        </w:rPr>
      </w:pPr>
      <w:r w:rsidRPr="0083271E">
        <w:rPr>
          <w:rFonts w:eastAsia="SimSun" w:cstheme="minorHAnsi"/>
          <w:kern w:val="3"/>
          <w:u w:val="single"/>
          <w:lang w:eastAsia="zh-CN" w:bidi="hi-IN"/>
          <w14:ligatures w14:val="none"/>
        </w:rPr>
        <w:t>2.</w:t>
      </w:r>
      <w:r w:rsidRPr="0083271E">
        <w:rPr>
          <w:rFonts w:eastAsia="Times New Roman" w:cstheme="minorHAnsi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5E9E6593" w14:textId="6CEF8C93" w:rsidR="00764964" w:rsidRPr="0083271E" w:rsidRDefault="00764964" w:rsidP="00764964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zamówienia</w:t>
      </w:r>
      <w:r w:rsidRPr="0083271E">
        <w:rPr>
          <w:rFonts w:eastAsiaTheme="minorEastAsia" w:cstheme="minorHAnsi"/>
          <w:kern w:val="0"/>
          <w:lang w:eastAsia="ar-SA"/>
          <w14:ligatures w14:val="none"/>
        </w:rPr>
        <w:t xml:space="preserve"> obejmuje realizację 4 warsztatów dla </w:t>
      </w:r>
      <w:r w:rsidR="005544EE" w:rsidRPr="0083271E">
        <w:rPr>
          <w:rFonts w:eastAsiaTheme="minorEastAsia" w:cstheme="minorHAnsi"/>
          <w:kern w:val="0"/>
          <w:lang w:eastAsia="ar-SA"/>
          <w14:ligatures w14:val="none"/>
        </w:rPr>
        <w:t>dzieci</w:t>
      </w:r>
      <w:r w:rsidRPr="0083271E">
        <w:rPr>
          <w:rFonts w:eastAsiaTheme="minorEastAsia" w:cstheme="minorHAnsi"/>
          <w:kern w:val="0"/>
          <w:lang w:eastAsia="ar-SA"/>
          <w14:ligatures w14:val="none"/>
        </w:rPr>
        <w:t>. Każdy warsztat będzie realizowany podczas 2 spotkań w wymiarze 4 godzin zegarowych. W każdym warsztacie weźmie udział średnio 6 osób, które zostaną zakwalifikowane do udziału w szkoleniu przez Zamawiającego.</w:t>
      </w:r>
    </w:p>
    <w:p w14:paraId="7DAB97EF" w14:textId="2B08E7F1" w:rsidR="00764964" w:rsidRPr="0083271E" w:rsidRDefault="005544EE" w:rsidP="005544EE">
      <w:pPr>
        <w:widowControl w:val="0"/>
        <w:numPr>
          <w:ilvl w:val="0"/>
          <w:numId w:val="6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lastRenderedPageBreak/>
        <w:t xml:space="preserve">Warsztaty dla dzieci: Ja i moja wartość </w:t>
      </w:r>
      <w:r w:rsidR="00764964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– 2 spotkania po 4 godziny zegarowe.</w:t>
      </w:r>
    </w:p>
    <w:p w14:paraId="1CC7989A" w14:textId="77777777" w:rsidR="005544EE" w:rsidRPr="0083271E" w:rsidRDefault="005544EE" w:rsidP="005544EE">
      <w:pPr>
        <w:shd w:val="clear" w:color="auto" w:fill="FFFFFF"/>
        <w:autoSpaceDN w:val="0"/>
        <w:spacing w:after="0" w:line="360" w:lineRule="auto"/>
        <w:ind w:left="360"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83271E">
        <w:rPr>
          <w:rFonts w:eastAsiaTheme="minorEastAsia" w:cstheme="minorHAnsi"/>
          <w:kern w:val="0"/>
          <w:u w:val="single"/>
          <w:lang w:eastAsia="ar-SA"/>
          <w14:ligatures w14:val="none"/>
        </w:rPr>
        <w:t>Zakres warsztatu:</w:t>
      </w:r>
    </w:p>
    <w:p w14:paraId="3036092A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1) Kim jestem? – odkrywanie swojej indywidualności (talenty, zainteresowania, cechy charakteru). </w:t>
      </w:r>
    </w:p>
    <w:p w14:paraId="240A5319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2) Moje mocne strony- ćwiczenia pomagające w dostrzeganiu i nazywaniu swoich zalet.</w:t>
      </w:r>
    </w:p>
    <w:p w14:paraId="3B229A75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3) Moje emocje i potrzeby – rozpoznawanie i wyrażanie uczuć w bezpieczny sposób.</w:t>
      </w:r>
    </w:p>
    <w:p w14:paraId="398C5312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4) Jak mówię o sobie? – rola pozytywnego myślenia i samoakceptacji.</w:t>
      </w:r>
    </w:p>
    <w:p w14:paraId="575BA7D7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5) Ja wśród innych – szacunek wobec siebie i innych, różnorodność jako wartość.</w:t>
      </w:r>
    </w:p>
    <w:p w14:paraId="7242B5D3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6) Pokonywanie trudności – radzenie sobie z porażką i krytyką. </w:t>
      </w:r>
    </w:p>
    <w:p w14:paraId="04464DE0" w14:textId="77777777" w:rsidR="005544EE" w:rsidRPr="0083271E" w:rsidRDefault="005544EE" w:rsidP="005544EE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7) Moja mapa wartości – podsumowanie i utrwalenie tego, co w każdym dziecku jest wyjątkowe.  </w:t>
      </w:r>
    </w:p>
    <w:p w14:paraId="6A439AED" w14:textId="77777777" w:rsidR="00764964" w:rsidRPr="0083271E" w:rsidRDefault="00764964" w:rsidP="00764964">
      <w:pPr>
        <w:widowControl w:val="0"/>
        <w:suppressAutoHyphens/>
        <w:spacing w:line="300" w:lineRule="exact"/>
        <w:jc w:val="both"/>
        <w:rPr>
          <w:rFonts w:eastAsia="SimSun" w:cstheme="minorHAnsi"/>
          <w:color w:val="EE0000"/>
          <w:kern w:val="3"/>
          <w:lang w:eastAsia="zh-CN" w:bidi="hi-IN"/>
          <w14:ligatures w14:val="none"/>
        </w:rPr>
      </w:pPr>
    </w:p>
    <w:p w14:paraId="6A503996" w14:textId="3C70980E" w:rsidR="00764964" w:rsidRPr="0083271E" w:rsidRDefault="00764964" w:rsidP="00C5534A">
      <w:pPr>
        <w:widowControl w:val="0"/>
        <w:numPr>
          <w:ilvl w:val="0"/>
          <w:numId w:val="6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</w:t>
      </w:r>
      <w:r w:rsidR="005544EE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: </w:t>
      </w:r>
      <w:r w:rsidR="00C5534A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Moje granice – twoje granice - 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2 spotkania po 4 godziny zegarowe .</w:t>
      </w:r>
    </w:p>
    <w:p w14:paraId="22BE1D57" w14:textId="77777777" w:rsidR="00764964" w:rsidRPr="0083271E" w:rsidRDefault="00764964" w:rsidP="00764964">
      <w:pPr>
        <w:shd w:val="clear" w:color="auto" w:fill="FFFFFF"/>
        <w:autoSpaceDN w:val="0"/>
        <w:spacing w:after="0" w:line="360" w:lineRule="auto"/>
        <w:ind w:left="720"/>
        <w:contextualSpacing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83271E">
        <w:rPr>
          <w:rFonts w:eastAsiaTheme="minorEastAsia" w:cstheme="minorHAnsi"/>
          <w:kern w:val="0"/>
          <w:u w:val="single"/>
          <w:lang w:eastAsia="ar-SA"/>
          <w14:ligatures w14:val="none"/>
        </w:rPr>
        <w:t>Zakres warsztatu:</w:t>
      </w:r>
    </w:p>
    <w:p w14:paraId="06C42209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1) Czym są granice? – pojęcie granic fizycznych, emocjonalnych i społecznych. </w:t>
      </w:r>
    </w:p>
    <w:p w14:paraId="2D5A73D2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2) Moje prawo do granic - kiedy i jak mogę powiedzieć ,,nie”</w:t>
      </w:r>
    </w:p>
    <w:p w14:paraId="021A0180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3) Twoje granice – mój szacunek - jak rozpoznawać i respektować granice innych osób.</w:t>
      </w:r>
    </w:p>
    <w:p w14:paraId="3AB84D70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4) Granice w przyjaźni i rodzinie - jak budować dobre i bezpieczne relacje.</w:t>
      </w:r>
    </w:p>
    <w:p w14:paraId="4B7F9589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5) Asertywność – ćwiczenia w wyrażaniu własnych uczuć i potrzeb bez agresji.</w:t>
      </w:r>
    </w:p>
    <w:p w14:paraId="78987D10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6) Co, gdy ktoś przekracza moje granice? - sposoby reagowania i poszukiwania pomocy.</w:t>
      </w:r>
    </w:p>
    <w:p w14:paraId="0D02B5EB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7) Bezpieczna komunikacja – mówienie o swoich uczuciach i słuchanie innych.  </w:t>
      </w:r>
    </w:p>
    <w:p w14:paraId="00B5236E" w14:textId="77777777" w:rsidR="00764964" w:rsidRPr="0083271E" w:rsidRDefault="00764964" w:rsidP="00764964">
      <w:pPr>
        <w:widowControl w:val="0"/>
        <w:suppressAutoHyphens/>
        <w:spacing w:line="300" w:lineRule="exact"/>
        <w:ind w:left="720"/>
        <w:contextualSpacing/>
        <w:jc w:val="both"/>
        <w:rPr>
          <w:rFonts w:eastAsia="SimSun" w:cstheme="minorHAnsi"/>
          <w:b/>
          <w:bCs/>
          <w:color w:val="EE0000"/>
          <w:kern w:val="3"/>
          <w:lang w:eastAsia="zh-CN" w:bidi="hi-IN"/>
          <w14:ligatures w14:val="none"/>
        </w:rPr>
      </w:pPr>
    </w:p>
    <w:p w14:paraId="2DC45F41" w14:textId="75EBFAA8" w:rsidR="00764964" w:rsidRPr="0083271E" w:rsidRDefault="00C5534A" w:rsidP="00C5534A">
      <w:pPr>
        <w:widowControl w:val="0"/>
        <w:numPr>
          <w:ilvl w:val="0"/>
          <w:numId w:val="6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dzieci: Zamiast złości – mocne słowa</w:t>
      </w:r>
      <w:r w:rsidRPr="0083271E">
        <w:rPr>
          <w:rFonts w:eastAsia="SimSun" w:cstheme="minorHAnsi"/>
          <w:b/>
          <w:bCs/>
          <w:color w:val="EE0000"/>
          <w:kern w:val="3"/>
          <w:lang w:eastAsia="zh-CN" w:bidi="hi-IN"/>
          <w14:ligatures w14:val="none"/>
        </w:rPr>
        <w:t xml:space="preserve"> </w:t>
      </w:r>
      <w:r w:rsidR="00764964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- 2 spotkania po 4 godziny zegarowe.</w:t>
      </w:r>
    </w:p>
    <w:p w14:paraId="6186FFA0" w14:textId="77777777" w:rsidR="00764964" w:rsidRPr="0083271E" w:rsidRDefault="00764964" w:rsidP="00764964">
      <w:pPr>
        <w:shd w:val="clear" w:color="auto" w:fill="FFFFFF"/>
        <w:autoSpaceDN w:val="0"/>
        <w:spacing w:after="0" w:line="360" w:lineRule="auto"/>
        <w:ind w:left="720"/>
        <w:contextualSpacing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83271E">
        <w:rPr>
          <w:rFonts w:eastAsiaTheme="minorEastAsia" w:cstheme="minorHAnsi"/>
          <w:kern w:val="0"/>
          <w:u w:val="single"/>
          <w:lang w:eastAsia="ar-SA"/>
          <w14:ligatures w14:val="none"/>
        </w:rPr>
        <w:t>Zakres warsztatu:</w:t>
      </w:r>
    </w:p>
    <w:p w14:paraId="346CB54A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1) Czym jest złość? – dlaczego się pojawia, co nam mówi i jakie ma znaczenie. </w:t>
      </w:r>
    </w:p>
    <w:p w14:paraId="4973B65E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2) Jak złość działa na ciało i umysł? – rozpoznawanie sygnałów (np. napięcie, szybkie bicie serca).</w:t>
      </w:r>
    </w:p>
    <w:p w14:paraId="77280FDC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3) Złość a agresja – różnica między emocją a zachowaniem.</w:t>
      </w:r>
    </w:p>
    <w:p w14:paraId="56F55159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4) Mocne słowa zamiast krzyku – jak mówić o swoich uczuciach i potrzebach (jestem zły, </w:t>
      </w: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br/>
        <w:t>bo …”, ,,chciałbym…”).</w:t>
      </w:r>
    </w:p>
    <w:p w14:paraId="1C3EA8DD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5) Techniki radzenia sobie ze złością – oddech, przerwa, liczenie do 10, ,,karta spokoju”.</w:t>
      </w:r>
    </w:p>
    <w:p w14:paraId="2AE0DE7C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6) Rozwiazywanie konfliktów – jak rozmawiać, gdy się pokłócimy.</w:t>
      </w:r>
    </w:p>
    <w:p w14:paraId="0FC3F75E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 xml:space="preserve">7) Ćwiczenia praktyczne – zabawy </w:t>
      </w:r>
      <w:proofErr w:type="spellStart"/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dramowe</w:t>
      </w:r>
      <w:proofErr w:type="spellEnd"/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, scenki, wspólne tworzenie ,,Słownika mocnych słów”.</w:t>
      </w:r>
    </w:p>
    <w:p w14:paraId="774A693B" w14:textId="77777777" w:rsidR="00C5534A" w:rsidRPr="0083271E" w:rsidRDefault="00C5534A" w:rsidP="00764964">
      <w:pPr>
        <w:shd w:val="clear" w:color="auto" w:fill="FFFFFF"/>
        <w:autoSpaceDN w:val="0"/>
        <w:spacing w:after="0" w:line="360" w:lineRule="auto"/>
        <w:ind w:left="720"/>
        <w:contextualSpacing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</w:p>
    <w:p w14:paraId="03450D6E" w14:textId="568CB3E9" w:rsidR="00764964" w:rsidRPr="0083271E" w:rsidRDefault="00764964" w:rsidP="00764964">
      <w:pPr>
        <w:widowControl w:val="0"/>
        <w:numPr>
          <w:ilvl w:val="0"/>
          <w:numId w:val="6"/>
        </w:numPr>
        <w:suppressAutoHyphens/>
        <w:spacing w:line="300" w:lineRule="exact"/>
        <w:contextualSpacing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Warsztaty dla </w:t>
      </w:r>
      <w:r w:rsidR="00C5534A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dzieci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>:</w:t>
      </w:r>
      <w:r w:rsidR="00C5534A"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Jak poradzić sobie z hejtem</w:t>
      </w:r>
      <w:r w:rsidRPr="0083271E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- 2 spotkania po 4 godziny zegarowe.</w:t>
      </w:r>
    </w:p>
    <w:p w14:paraId="0B20DD5A" w14:textId="77777777" w:rsidR="00764964" w:rsidRPr="0083271E" w:rsidRDefault="00764964" w:rsidP="00764964">
      <w:pPr>
        <w:shd w:val="clear" w:color="auto" w:fill="FFFFFF"/>
        <w:autoSpaceDN w:val="0"/>
        <w:spacing w:after="0" w:line="360" w:lineRule="auto"/>
        <w:ind w:left="708"/>
        <w:contextualSpacing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83271E">
        <w:rPr>
          <w:rFonts w:eastAsiaTheme="minorEastAsia" w:cstheme="minorHAnsi"/>
          <w:kern w:val="0"/>
          <w:u w:val="single"/>
          <w:lang w:eastAsia="ar-SA"/>
          <w14:ligatures w14:val="none"/>
        </w:rPr>
        <w:t>Zakres warsztatów:</w:t>
      </w:r>
    </w:p>
    <w:p w14:paraId="237A07BF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1) Co to jest hejt? – różnica między krytyką a obrażaniem.</w:t>
      </w:r>
    </w:p>
    <w:p w14:paraId="1B87EA4E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2) Dlaczego ludzie hejtują? – możliwe przyczyny hejtu.</w:t>
      </w:r>
    </w:p>
    <w:p w14:paraId="4834637D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kern w:val="0"/>
          <w:lang w:eastAsia="ar-SA"/>
          <w14:ligatures w14:val="none"/>
        </w:rPr>
        <w:t>3) Jak hejt wpływa na ofiarę? – emocje</w:t>
      </w: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, poczucie własnej wartości, relacje.</w:t>
      </w:r>
    </w:p>
    <w:p w14:paraId="1CD9923F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4) Moje emocje wobec hejtu – jak się czuję, gdy ktoś mnie obraża, i jak mogę to wyrazić.</w:t>
      </w:r>
    </w:p>
    <w:p w14:paraId="61CC3A93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5) Sposoby radzenia na hejt:</w:t>
      </w:r>
    </w:p>
    <w:p w14:paraId="72F00260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- ignorowanie i ochrona przed </w:t>
      </w:r>
      <w:proofErr w:type="spellStart"/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hejterem</w:t>
      </w:r>
      <w:proofErr w:type="spellEnd"/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,</w:t>
      </w:r>
    </w:p>
    <w:p w14:paraId="7C980911" w14:textId="77777777" w:rsidR="00C5534A" w:rsidRPr="0083271E" w:rsidRDefault="00C5534A" w:rsidP="00C5534A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- mówienie ,,stop” i wyrażanie własnych granic,</w:t>
      </w:r>
    </w:p>
    <w:p w14:paraId="6FA0DC77" w14:textId="1890E451" w:rsidR="00C5534A" w:rsidRPr="0083271E" w:rsidRDefault="00D66046" w:rsidP="00C5534A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              </w:t>
      </w:r>
      <w:r w:rsidR="00C5534A"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- zgłaszanie hejtu dorosłym lub odpowiednim instytucjom.</w:t>
      </w:r>
    </w:p>
    <w:p w14:paraId="0936B4D9" w14:textId="3CF9D197" w:rsidR="00C5534A" w:rsidRPr="0083271E" w:rsidRDefault="00D66046" w:rsidP="00C5534A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lastRenderedPageBreak/>
        <w:t xml:space="preserve">              </w:t>
      </w:r>
      <w:r w:rsidR="00C5534A"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6) Wsparcie dla ofiary hejtu – jak mogę pomóc koledze/koleżance.</w:t>
      </w:r>
    </w:p>
    <w:p w14:paraId="12C4A6CD" w14:textId="66CC5D6B" w:rsidR="00C5534A" w:rsidRPr="0083271E" w:rsidRDefault="00D66046" w:rsidP="00C5534A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              </w:t>
      </w:r>
      <w:r w:rsidR="00C5534A" w:rsidRPr="0083271E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7) Budowanie kultury szacunku – tworzenie wspólnego ,,kodeksu dobrej komunikacji”.</w:t>
      </w:r>
    </w:p>
    <w:p w14:paraId="266A8B41" w14:textId="77777777" w:rsidR="00764964" w:rsidRPr="0083271E" w:rsidRDefault="00764964" w:rsidP="00764964">
      <w:pPr>
        <w:widowControl w:val="0"/>
        <w:spacing w:after="120" w:line="300" w:lineRule="exact"/>
        <w:ind w:left="720"/>
        <w:contextualSpacing/>
        <w:jc w:val="both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606D0EE2" w14:textId="77777777" w:rsidR="00764964" w:rsidRPr="0083271E" w:rsidRDefault="00764964" w:rsidP="00764964">
      <w:pPr>
        <w:widowControl w:val="0"/>
        <w:spacing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Theme="minorEastAsia" w:cstheme="minorHAnsi"/>
          <w:kern w:val="0"/>
          <w:lang w:eastAsia="ar-SA"/>
          <w14:ligatures w14:val="none"/>
        </w:rPr>
        <w:t>Warsztaty zostaną zrealizowane w łącznym wymiarze 32 godzin zegarowych (4 warsztaty x 2 spotkania x 4 godziny zegarowe).</w:t>
      </w:r>
    </w:p>
    <w:p w14:paraId="52E0DEE0" w14:textId="77777777" w:rsidR="00764964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bookmarkStart w:id="0" w:name="OLE_LINK1"/>
      <w:r w:rsidRPr="0083271E">
        <w:rPr>
          <w:rFonts w:eastAsia="Calibri" w:cstheme="minorHAnsi"/>
          <w:kern w:val="1"/>
          <w:u w:val="single"/>
          <w:lang w:eastAsia="ar-SA"/>
        </w:rPr>
        <w:t>3. Termin realizacji</w:t>
      </w:r>
      <w:r w:rsidRPr="0083271E">
        <w:rPr>
          <w:rFonts w:eastAsia="Calibri" w:cstheme="minorHAnsi"/>
          <w:kern w:val="1"/>
          <w:lang w:eastAsia="ar-SA"/>
        </w:rPr>
        <w:t xml:space="preserve">: </w:t>
      </w:r>
      <w:bookmarkEnd w:id="0"/>
      <w:r w:rsidRPr="0083271E">
        <w:rPr>
          <w:rFonts w:eastAsia="Calibri" w:cstheme="minorHAnsi"/>
          <w:kern w:val="1"/>
          <w:lang w:eastAsia="ar-SA"/>
        </w:rPr>
        <w:t xml:space="preserve"> </w:t>
      </w:r>
    </w:p>
    <w:p w14:paraId="01B0A294" w14:textId="7059BFA9" w:rsidR="00C5534A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 xml:space="preserve">Warsztaty dla </w:t>
      </w:r>
      <w:r w:rsidR="00C5534A" w:rsidRPr="0083271E">
        <w:rPr>
          <w:rFonts w:eastAsia="Calibri" w:cstheme="minorHAnsi"/>
          <w:kern w:val="1"/>
          <w:lang w:eastAsia="ar-SA"/>
        </w:rPr>
        <w:t>dzieci</w:t>
      </w:r>
      <w:r w:rsidRPr="0083271E">
        <w:rPr>
          <w:rFonts w:eastAsia="Calibri" w:cstheme="minorHAnsi"/>
          <w:kern w:val="1"/>
          <w:lang w:eastAsia="ar-SA"/>
        </w:rPr>
        <w:t xml:space="preserve"> będą się odbywały w okresie 2026 -2028 r. Zamawiający planuje realizację poszczególnych warsztatów w przybliżonych terminach:</w:t>
      </w:r>
    </w:p>
    <w:p w14:paraId="3EAE0E12" w14:textId="77777777" w:rsidR="007B23C3" w:rsidRPr="0083271E" w:rsidRDefault="007B23C3" w:rsidP="007649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0D459FD4" w14:textId="7D207226" w:rsidR="00C5534A" w:rsidRPr="0083271E" w:rsidRDefault="00C5534A" w:rsidP="00C5534A">
      <w:pPr>
        <w:pStyle w:val="Akapitzlist"/>
        <w:widowControl w:val="0"/>
        <w:numPr>
          <w:ilvl w:val="0"/>
          <w:numId w:val="9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Warsztaty dla dzieci: Ja i moja wartość – III kwartał 2026 r.</w:t>
      </w:r>
    </w:p>
    <w:p w14:paraId="43114CCD" w14:textId="1BD9BF64" w:rsidR="00C5534A" w:rsidRPr="0083271E" w:rsidRDefault="00C5534A" w:rsidP="00C5534A">
      <w:pPr>
        <w:pStyle w:val="Akapitzlist"/>
        <w:widowControl w:val="0"/>
        <w:numPr>
          <w:ilvl w:val="0"/>
          <w:numId w:val="9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 xml:space="preserve">Warsztaty dla dzieci: Moje granice – twoje granice – I kwartał 2027 r. </w:t>
      </w:r>
    </w:p>
    <w:p w14:paraId="09BC2493" w14:textId="5619462F" w:rsidR="00C5534A" w:rsidRPr="0083271E" w:rsidRDefault="00C5534A" w:rsidP="00C5534A">
      <w:pPr>
        <w:pStyle w:val="Akapitzlist"/>
        <w:widowControl w:val="0"/>
        <w:numPr>
          <w:ilvl w:val="0"/>
          <w:numId w:val="9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Warsztaty dla dzieci: Zamiast złości – mocne słowa – IV kwartał 2027 r.</w:t>
      </w:r>
    </w:p>
    <w:p w14:paraId="1DA197B1" w14:textId="158A356C" w:rsidR="00764964" w:rsidRPr="0083271E" w:rsidRDefault="00C5534A" w:rsidP="007B23C3">
      <w:pPr>
        <w:pStyle w:val="Akapitzlist"/>
        <w:widowControl w:val="0"/>
        <w:numPr>
          <w:ilvl w:val="0"/>
          <w:numId w:val="9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83271E">
        <w:rPr>
          <w:rFonts w:eastAsia="SimSun" w:cstheme="minorHAnsi"/>
          <w:kern w:val="3"/>
          <w:lang w:eastAsia="zh-CN" w:bidi="hi-IN"/>
          <w14:ligatures w14:val="none"/>
        </w:rPr>
        <w:t>Warsztaty dla dzieci: Jak poradzić sobie z hejtem – I kwartał 2028 r.</w:t>
      </w:r>
    </w:p>
    <w:p w14:paraId="5B4519CC" w14:textId="77777777" w:rsidR="00764964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>Dokładny harmonogram będzie uzgadniany pomiędzy Zamawiającym a Wykonawcą.</w:t>
      </w:r>
    </w:p>
    <w:p w14:paraId="04FB7F4E" w14:textId="77777777" w:rsidR="00764964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 xml:space="preserve">Szkolenia dla uczestników mogą się odbywać w dni powszednie, soboty i niedziele </w:t>
      </w:r>
      <w:r w:rsidRPr="0083271E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3F4F7ECB" w14:textId="77777777" w:rsidR="00764964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4. Miejsce realizacji usług</w:t>
      </w:r>
      <w:r w:rsidRPr="0083271E">
        <w:rPr>
          <w:rFonts w:eastAsia="Calibri" w:cstheme="minorHAnsi"/>
          <w:kern w:val="1"/>
          <w:lang w:eastAsia="ar-SA"/>
        </w:rPr>
        <w:t xml:space="preserve">: </w:t>
      </w:r>
    </w:p>
    <w:p w14:paraId="4F8EB3E2" w14:textId="5F9F84C2" w:rsidR="00764964" w:rsidRPr="0083271E" w:rsidRDefault="00764964" w:rsidP="007B23C3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3097D7F8" w14:textId="77777777" w:rsidR="00764964" w:rsidRPr="0083271E" w:rsidRDefault="00764964" w:rsidP="00764964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 xml:space="preserve">5. </w:t>
      </w:r>
      <w:r w:rsidRPr="0083271E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4C450A07" w14:textId="5E1A1426" w:rsidR="00764964" w:rsidRPr="0083271E" w:rsidRDefault="0083271E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 xml:space="preserve">1) </w:t>
      </w:r>
      <w:r w:rsidR="00764964" w:rsidRPr="0083271E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5083E208" w14:textId="57AD87EB" w:rsidR="00764964" w:rsidRPr="00884997" w:rsidRDefault="00764964" w:rsidP="0076496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>Posiadają uprawnienia do wykonywania zawodu psychologa</w:t>
      </w:r>
      <w:r w:rsidR="007B23C3"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</w:t>
      </w:r>
      <w:r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tj. posiadają  wykształcenie wyższe </w:t>
      </w:r>
      <w:r w:rsidR="00DF0C3C"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na kierunku psychologia </w:t>
      </w:r>
      <w:r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</w:t>
      </w:r>
      <w:r w:rsidR="00DF0C3C"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albo uprawnienia do wykonywania zawodu psychoterapeuty tj. podsiadają wykształcenie wyższe na kierunku psychologia i dodatkowo aktualny certyfikat psychoterapeuty  </w:t>
      </w:r>
      <w:r w:rsidRPr="00884997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>lub</w:t>
      </w:r>
      <w:r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dysponują osobą, </w:t>
      </w:r>
      <w:r w:rsidR="00DF0C3C"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która posiada uprawnienia </w:t>
      </w:r>
      <w:r w:rsidR="0066604A" w:rsidRPr="00884997">
        <w:rPr>
          <w:rFonts w:ascii="Calibri" w:eastAsia="Times New Roman" w:hAnsi="Calibri" w:cs="Tahoma"/>
          <w:color w:val="000000" w:themeColor="text1"/>
          <w:kern w:val="0"/>
          <w14:ligatures w14:val="none"/>
        </w:rPr>
        <w:t>do wykonywania zawodu psychologa tj. posiadają  wykształcenie wyższe na kierunku psychologia  albo uprawnienia do wykonywania zawodu psychoterapeuty tj. podsiadają wykształcenie wyższe na kierunku psychologia i dodatkowo aktualny certyfikat psychoterapeuty.</w:t>
      </w:r>
    </w:p>
    <w:p w14:paraId="6E8325B2" w14:textId="77777777" w:rsidR="00764964" w:rsidRPr="0083271E" w:rsidRDefault="00764964" w:rsidP="0076496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83271E">
        <w:rPr>
          <w:rFonts w:ascii="Calibri" w:eastAsia="Times New Roman" w:hAnsi="Calibri" w:cs="Tahoma"/>
          <w:kern w:val="0"/>
          <w14:ligatures w14:val="none"/>
        </w:rPr>
        <w:t xml:space="preserve">Posiadają minimum 2 letnie (24 miesięczne) doświadczenie zawodowe </w:t>
      </w:r>
      <w:r w:rsidRPr="0083271E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83271E">
        <w:rPr>
          <w:rFonts w:ascii="Calibri" w:eastAsia="Times New Roman" w:hAnsi="Calibri" w:cs="Tahoma"/>
          <w:kern w:val="0"/>
          <w14:ligatures w14:val="none"/>
        </w:rPr>
        <w:t xml:space="preserve"> dysponują osobami, które  posiadają minimum 2 letnie (24 miesięczne) doświadczenie zawodowe.</w:t>
      </w:r>
    </w:p>
    <w:p w14:paraId="384A00DF" w14:textId="77777777" w:rsidR="00764964" w:rsidRPr="0083271E" w:rsidRDefault="00764964" w:rsidP="0076496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83271E">
        <w:rPr>
          <w:rFonts w:ascii="Calibri" w:eastAsia="Times New Roman" w:hAnsi="Calibri" w:cs="Tahoma"/>
          <w:kern w:val="0"/>
          <w14:ligatures w14:val="none"/>
        </w:rPr>
        <w:t>Znają tematykę równości szans lub dysponują osobą, która zna tematykę równości szans.</w:t>
      </w:r>
    </w:p>
    <w:p w14:paraId="6831F60F" w14:textId="3FB86782" w:rsidR="00BA33B4" w:rsidRPr="00DF7594" w:rsidRDefault="00BA33B4" w:rsidP="00BA33B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DF7594">
        <w:rPr>
          <w:rFonts w:eastAsia="Calibri" w:cstheme="minorHAnsi"/>
          <w:bCs/>
          <w:color w:val="000000" w:themeColor="text1"/>
          <w:kern w:val="1"/>
          <w:lang w:eastAsia="ar-SA"/>
        </w:rPr>
        <w:t>Nie figurują w Rejestrze Sprawców Przestępstw na Tle Seksualnym (Rejestrze z dostępem ograniczonym)</w:t>
      </w:r>
      <w:r w:rsidRPr="00DF7594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DF7594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3FDB66DA" w14:textId="77777777" w:rsidR="00BA33B4" w:rsidRPr="00DF7594" w:rsidRDefault="00BA33B4" w:rsidP="00BA33B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DF7594">
        <w:rPr>
          <w:rFonts w:eastAsia="Calibri" w:cstheme="minorHAnsi"/>
          <w:bCs/>
          <w:kern w:val="1"/>
          <w:lang w:eastAsia="ar-SA"/>
        </w:rPr>
        <w:t xml:space="preserve">Jeżeli osoba realizująca przedmiot zamówienia lub skierowana do realizacji przedmiotu zamówienia posiada obywatelstwo inne niż polskie, zobowiązana jest przedłożyć również: </w:t>
      </w:r>
    </w:p>
    <w:p w14:paraId="5F05841F" w14:textId="61F9BA51" w:rsidR="00BA33B4" w:rsidRPr="00DF7594" w:rsidRDefault="00BA33B4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t xml:space="preserve">- informację z rejestru karnego państwa, którego jest obywatelem, uzyskiwaną do celów działalności zawodowej lub </w:t>
      </w:r>
      <w:proofErr w:type="spellStart"/>
      <w:r w:rsidRPr="00DF7594">
        <w:rPr>
          <w:rFonts w:eastAsia="Calibri" w:cstheme="minorHAnsi"/>
          <w:bCs/>
          <w:kern w:val="1"/>
          <w:lang w:eastAsia="ar-SA"/>
        </w:rPr>
        <w:t>wolontariackiej</w:t>
      </w:r>
      <w:proofErr w:type="spellEnd"/>
      <w:r w:rsidRPr="00DF7594">
        <w:rPr>
          <w:rFonts w:eastAsia="Calibri" w:cstheme="minorHAnsi"/>
          <w:bCs/>
          <w:kern w:val="1"/>
          <w:lang w:eastAsia="ar-SA"/>
        </w:rPr>
        <w:t xml:space="preserve"> związanej z kontaktami</w:t>
      </w:r>
      <w:r w:rsidR="0050167C" w:rsidRPr="00DF7594">
        <w:rPr>
          <w:rFonts w:eastAsia="Calibri" w:cstheme="minorHAnsi"/>
          <w:bCs/>
          <w:kern w:val="1"/>
          <w:lang w:eastAsia="ar-SA"/>
        </w:rPr>
        <w:t xml:space="preserve"> </w:t>
      </w:r>
      <w:r w:rsidRPr="00DF7594">
        <w:rPr>
          <w:rFonts w:eastAsia="Calibri" w:cstheme="minorHAnsi"/>
          <w:bCs/>
          <w:kern w:val="1"/>
          <w:lang w:eastAsia="ar-SA"/>
        </w:rPr>
        <w:t xml:space="preserve">z </w:t>
      </w:r>
      <w:r w:rsidR="00B36C10" w:rsidRPr="00DF7594">
        <w:rPr>
          <w:rFonts w:eastAsia="Calibri" w:cstheme="minorHAnsi"/>
          <w:bCs/>
          <w:kern w:val="1"/>
          <w:lang w:eastAsia="ar-SA"/>
        </w:rPr>
        <w:t>dziećmi</w:t>
      </w:r>
      <w:r w:rsidRPr="00DF7594">
        <w:rPr>
          <w:rFonts w:eastAsia="Calibri" w:cstheme="minorHAnsi"/>
          <w:bCs/>
          <w:kern w:val="1"/>
          <w:lang w:eastAsia="ar-SA"/>
        </w:rPr>
        <w:t xml:space="preserve">, </w:t>
      </w:r>
    </w:p>
    <w:p w14:paraId="71AA8BAD" w14:textId="77777777" w:rsidR="00BA33B4" w:rsidRPr="00DF7594" w:rsidRDefault="00BA33B4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t xml:space="preserve">lub </w:t>
      </w:r>
    </w:p>
    <w:p w14:paraId="36BD53B3" w14:textId="77777777" w:rsidR="00BA33B4" w:rsidRPr="00DF7594" w:rsidRDefault="00BA33B4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lastRenderedPageBreak/>
        <w:t>– jeżeli prawo danego państwa nie przewiduje wydania takiej informacji – oświadczenie złożone pod rygorem odpowiedzialności karnej, że:</w:t>
      </w:r>
    </w:p>
    <w:p w14:paraId="1840CA94" w14:textId="3BA75A9A" w:rsidR="00BA33B4" w:rsidRPr="00DF7594" w:rsidRDefault="00BA33B4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t>,,Nie była prawomocnie skazana</w:t>
      </w:r>
      <w:r w:rsidR="003B2821" w:rsidRPr="00DF7594">
        <w:rPr>
          <w:rFonts w:eastAsia="Calibri" w:cstheme="minorHAnsi"/>
          <w:bCs/>
          <w:kern w:val="1"/>
          <w:lang w:eastAsia="ar-SA"/>
        </w:rPr>
        <w:t xml:space="preserve"> w ……………..</w:t>
      </w:r>
      <w:r w:rsidRPr="00DF7594">
        <w:rPr>
          <w:rFonts w:eastAsia="Calibri" w:cstheme="minorHAnsi"/>
          <w:bCs/>
          <w:kern w:val="1"/>
          <w:lang w:eastAsia="ar-SA"/>
        </w:rPr>
        <w:t xml:space="preserve"> za </w:t>
      </w:r>
      <w:r w:rsidR="003B2821" w:rsidRPr="00DF7594">
        <w:rPr>
          <w:rFonts w:eastAsia="Calibri" w:cstheme="minorHAnsi"/>
          <w:bCs/>
          <w:kern w:val="1"/>
          <w:lang w:eastAsia="ar-SA"/>
        </w:rPr>
        <w:t xml:space="preserve">czyny zabronione odpowiadające przestępstwom określonym w rozdziale XIX i XXV Kodeksu karnego, w art. 189a i art. 207 Kodeksu karnego oraz ustawie z dnia 29 lipca 2005 r. o przeciwdziałaniu narkomanii oraz nie wydano wobec mnie innego orzeczenia , w którym stwierdzono, iż dopuściłem się/dopuściłem się takich czynów zabronionych oraz nie mam obowiązku wynikającego z orzeczenia sądu, innego uprawnionego organu lub ustawy stosowania się do zakazu zajmowania wszelkich lub określonych stanowisk, wykonywania wszelkich lub określonych zawodów lub działalności </w:t>
      </w:r>
      <w:r w:rsidRPr="00DF7594">
        <w:rPr>
          <w:rFonts w:eastAsia="Calibri" w:cstheme="minorHAnsi"/>
          <w:bCs/>
          <w:kern w:val="1"/>
          <w:lang w:eastAsia="ar-SA"/>
        </w:rPr>
        <w:t>związanych z wychowywaniem, edukacją, leczeniem, wypoczynkiem, świadczeniem porad psychologicznych, rozwojem duchowym, uprawianiem sportu lub realizacją innych zainteresowań małoletnich, lub z opieką nad nim</w:t>
      </w:r>
      <w:r w:rsidR="003B2821" w:rsidRPr="00DF7594">
        <w:rPr>
          <w:rFonts w:eastAsia="Calibri" w:cstheme="minorHAnsi"/>
          <w:bCs/>
          <w:kern w:val="1"/>
          <w:lang w:eastAsia="ar-SA"/>
        </w:rPr>
        <w:t>. Jestem świadomy odpowiedzialności karnej za złożenie fałszywego oświadczenia</w:t>
      </w:r>
      <w:r w:rsidRPr="00DF7594">
        <w:rPr>
          <w:rFonts w:eastAsia="Calibri" w:cstheme="minorHAnsi"/>
          <w:bCs/>
          <w:kern w:val="1"/>
          <w:lang w:eastAsia="ar-SA"/>
        </w:rPr>
        <w:t>”.</w:t>
      </w:r>
    </w:p>
    <w:p w14:paraId="2FBFB28F" w14:textId="6298DDA4" w:rsidR="00BA33B4" w:rsidRPr="00DF7594" w:rsidRDefault="00BA33B4" w:rsidP="00BA33B4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DF7594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zostali z prawomocnie skazani wyrokiem sądu za  przestępstwa i nie figurują </w:t>
      </w:r>
      <w:r w:rsidRPr="00DF7594">
        <w:rPr>
          <w:rFonts w:ascii="Calibri" w:eastAsia="Times New Roman" w:hAnsi="Calibri" w:cs="Tahoma"/>
          <w:color w:val="000000" w:themeColor="text1"/>
          <w:kern w:val="0"/>
          <w14:ligatures w14:val="none"/>
        </w:rPr>
        <w:br/>
        <w:t xml:space="preserve">w Krajowym Rejestrze Karnym (KRK) </w:t>
      </w:r>
      <w:r w:rsidRPr="00DF7594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 xml:space="preserve">lub </w:t>
      </w:r>
      <w:r w:rsidRPr="00DF7594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0A10315F" w14:textId="77777777" w:rsidR="00764964" w:rsidRPr="0083271E" w:rsidRDefault="00764964" w:rsidP="00764964">
      <w:pPr>
        <w:widowControl w:val="0"/>
        <w:numPr>
          <w:ilvl w:val="1"/>
          <w:numId w:val="2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83271E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2A42D27E" w14:textId="01FFCBF6" w:rsidR="00764964" w:rsidRPr="0083271E" w:rsidRDefault="00764964" w:rsidP="0083271E">
      <w:pPr>
        <w:pStyle w:val="Akapitzlist"/>
        <w:widowControl w:val="0"/>
        <w:numPr>
          <w:ilvl w:val="1"/>
          <w:numId w:val="2"/>
        </w:numPr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 xml:space="preserve">Nie </w:t>
      </w:r>
      <w:bookmarkStart w:id="1" w:name="_Hlk158036398"/>
      <w:r w:rsidRPr="0083271E">
        <w:rPr>
          <w:rFonts w:eastAsia="Calibri" w:cstheme="minorHAnsi"/>
          <w:bCs/>
          <w:kern w:val="1"/>
          <w:lang w:eastAsia="ar-SA"/>
        </w:rPr>
        <w:t xml:space="preserve">podlegają wykluczeniu na podstawie art. 7 ust. 1 </w:t>
      </w:r>
      <w:bookmarkStart w:id="2" w:name="OLE_LINK18"/>
      <w:r w:rsidRPr="0083271E">
        <w:rPr>
          <w:rFonts w:eastAsia="Calibri" w:cstheme="minorHAnsi"/>
          <w:bCs/>
          <w:kern w:val="1"/>
          <w:lang w:eastAsia="ar-SA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83271E">
        <w:rPr>
          <w:rFonts w:eastAsia="Calibri" w:cstheme="minorHAnsi"/>
          <w:bCs/>
          <w:kern w:val="1"/>
          <w:lang w:eastAsia="ar-SA"/>
        </w:rPr>
        <w:t>(Dz. U. z 2025 r. poz. 514)</w:t>
      </w:r>
      <w:bookmarkEnd w:id="1"/>
      <w:r w:rsidRPr="0083271E">
        <w:rPr>
          <w:rFonts w:eastAsia="Calibri" w:cstheme="minorHAnsi"/>
          <w:bCs/>
          <w:kern w:val="1"/>
          <w:lang w:eastAsia="ar-SA"/>
        </w:rPr>
        <w:t>.</w:t>
      </w:r>
    </w:p>
    <w:p w14:paraId="60920277" w14:textId="77777777" w:rsidR="00764964" w:rsidRPr="0083271E" w:rsidRDefault="00764964" w:rsidP="00764964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83271E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5C756F23" w14:textId="77777777" w:rsidR="00764964" w:rsidRPr="0083271E" w:rsidRDefault="00764964" w:rsidP="0076496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20357EBD" w14:textId="77777777" w:rsidR="00764964" w:rsidRPr="0083271E" w:rsidRDefault="00764964" w:rsidP="0076496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83271E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83271E">
        <w:rPr>
          <w:rFonts w:eastAsia="Times New Roman" w:cstheme="minorHAnsi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. zm.) albo wpisani na listę o której mowa w art. 2 ustawy z dnia 13 kwietnia 2022 r. o szczególnych rozwiązaniach w zakresie </w:t>
      </w:r>
      <w:r w:rsidRPr="0083271E">
        <w:rPr>
          <w:rFonts w:eastAsia="Times New Roman" w:cstheme="minorHAnsi"/>
          <w:kern w:val="0"/>
          <w:lang w:eastAsia="pl-PL"/>
          <w14:ligatures w14:val="none"/>
        </w:rPr>
        <w:lastRenderedPageBreak/>
        <w:t>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3F4BD727" w14:textId="77777777" w:rsidR="00764964" w:rsidRPr="0083271E" w:rsidRDefault="00764964" w:rsidP="0076496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83271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83271E">
        <w:rPr>
          <w:rFonts w:eastAsia="Times New Roman" w:cstheme="minorHAnsi"/>
          <w:kern w:val="0"/>
          <w:lang w:eastAsia="pl-PL"/>
          <w14:ligatures w14:val="none"/>
        </w:rPr>
        <w:t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5B89B960" w14:textId="4D7994CF" w:rsidR="00764964" w:rsidRPr="0083271E" w:rsidRDefault="00764964" w:rsidP="00764964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3271E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</w:t>
      </w:r>
      <w:r w:rsidR="0083271E" w:rsidRPr="0083271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3271E">
        <w:rPr>
          <w:rFonts w:eastAsia="Times New Roman" w:cstheme="minorHAnsi"/>
          <w:kern w:val="0"/>
          <w:lang w:eastAsia="pl-PL"/>
          <w14:ligatures w14:val="none"/>
        </w:rPr>
        <w:t>Urzędu Zamówień Publicznych, w drodze decyzji, w wysokości do 20 000 000,00 zł.</w:t>
      </w:r>
    </w:p>
    <w:p w14:paraId="4D997948" w14:textId="77777777" w:rsidR="00764964" w:rsidRPr="0083271E" w:rsidRDefault="00764964" w:rsidP="007649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13CE9E18" w14:textId="77777777" w:rsidR="00764964" w:rsidRPr="0083271E" w:rsidRDefault="00764964" w:rsidP="00764964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6. Kryteria wyboru oferty oraz ich znaczenie</w:t>
      </w:r>
      <w:r w:rsidRPr="0083271E">
        <w:rPr>
          <w:rFonts w:eastAsia="Calibri" w:cstheme="minorHAnsi"/>
          <w:kern w:val="1"/>
          <w:lang w:eastAsia="ar-SA"/>
        </w:rPr>
        <w:t xml:space="preserve">: </w:t>
      </w:r>
    </w:p>
    <w:p w14:paraId="7893B783" w14:textId="77777777" w:rsidR="00764964" w:rsidRPr="0083271E" w:rsidRDefault="00764964" w:rsidP="00764964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764964" w:rsidRPr="0083271E" w14:paraId="51BD0C9B" w14:textId="77777777" w:rsidTr="00777B08">
        <w:trPr>
          <w:trHeight w:val="562"/>
        </w:trPr>
        <w:tc>
          <w:tcPr>
            <w:tcW w:w="1696" w:type="dxa"/>
          </w:tcPr>
          <w:p w14:paraId="55F410A7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0F2FBE72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35A9E4D8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764964" w:rsidRPr="0083271E" w14:paraId="06A76C95" w14:textId="77777777" w:rsidTr="00777B08">
        <w:tc>
          <w:tcPr>
            <w:tcW w:w="1696" w:type="dxa"/>
          </w:tcPr>
          <w:p w14:paraId="5C9983DA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08643178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06CA71F5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1F8281AC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6CB569C4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764964" w:rsidRPr="0083271E" w14:paraId="7C6B0830" w14:textId="77777777" w:rsidTr="00777B08">
        <w:tc>
          <w:tcPr>
            <w:tcW w:w="1696" w:type="dxa"/>
          </w:tcPr>
          <w:p w14:paraId="5FFD44A7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t xml:space="preserve">2.Posiadanie statusu </w:t>
            </w:r>
            <w:r w:rsidRPr="0083271E">
              <w:rPr>
                <w:rFonts w:eastAsia="Calibri" w:cstheme="minorHAnsi"/>
                <w:kern w:val="1"/>
                <w:lang w:eastAsia="ar-SA"/>
              </w:rPr>
              <w:lastRenderedPageBreak/>
              <w:t>podmiotu ekonomii społecznej</w:t>
            </w:r>
          </w:p>
        </w:tc>
        <w:tc>
          <w:tcPr>
            <w:tcW w:w="850" w:type="dxa"/>
          </w:tcPr>
          <w:p w14:paraId="123FA12C" w14:textId="77777777" w:rsidR="00764964" w:rsidRPr="0083271E" w:rsidRDefault="00764964" w:rsidP="00764964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83271E">
              <w:rPr>
                <w:rFonts w:eastAsia="Calibri" w:cstheme="minorHAnsi"/>
                <w:kern w:val="1"/>
                <w:lang w:eastAsia="ar-SA"/>
              </w:rPr>
              <w:lastRenderedPageBreak/>
              <w:t>20%</w:t>
            </w:r>
          </w:p>
        </w:tc>
        <w:tc>
          <w:tcPr>
            <w:tcW w:w="6232" w:type="dxa"/>
          </w:tcPr>
          <w:p w14:paraId="7B2A3338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1CFBD60B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044F30A7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6D0A232C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38F44B24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0EF37D2C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2E15B356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118DC67B" w14:textId="77777777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455F3EDD" w14:textId="0CC0B210" w:rsidR="002F7CFA" w:rsidRPr="00613432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09F7A469" w14:textId="7D4CF785" w:rsidR="00764964" w:rsidRPr="002F7CFA" w:rsidRDefault="002F7CFA" w:rsidP="002F7C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eastAsiaTheme="majorEastAsia"/>
              </w:rPr>
              <w:t>.</w:t>
            </w:r>
          </w:p>
        </w:tc>
      </w:tr>
    </w:tbl>
    <w:p w14:paraId="3126148C" w14:textId="77777777" w:rsidR="00764964" w:rsidRPr="0083271E" w:rsidRDefault="00764964" w:rsidP="00764964">
      <w:pPr>
        <w:widowControl w:val="0"/>
        <w:spacing w:before="120" w:after="120" w:line="300" w:lineRule="exact"/>
        <w:jc w:val="both"/>
        <w:rPr>
          <w:rFonts w:eastAsia="Calibri" w:cstheme="minorHAnsi"/>
          <w:color w:val="EE0000"/>
          <w:kern w:val="1"/>
          <w:lang w:eastAsia="ar-SA"/>
        </w:rPr>
      </w:pPr>
    </w:p>
    <w:p w14:paraId="1CEF031F" w14:textId="77777777" w:rsidR="00764964" w:rsidRPr="0083271E" w:rsidRDefault="00764964" w:rsidP="0076496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83271E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185781F3" w14:textId="77777777" w:rsidR="00764964" w:rsidRPr="0083271E" w:rsidRDefault="00764964" w:rsidP="0076496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7020F7E7" w14:textId="77777777" w:rsidR="00764964" w:rsidRPr="0083271E" w:rsidRDefault="00764964" w:rsidP="0076496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3BD354B3" w14:textId="77777777" w:rsidR="00764964" w:rsidRPr="0083271E" w:rsidRDefault="00764964" w:rsidP="00764964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7. Termin związania ofertą</w:t>
      </w:r>
      <w:r w:rsidRPr="0083271E">
        <w:rPr>
          <w:rFonts w:eastAsia="Calibri" w:cstheme="minorHAnsi"/>
          <w:kern w:val="1"/>
          <w:lang w:eastAsia="ar-SA"/>
        </w:rPr>
        <w:t>: 30 dni liczone od dnia otwarcia ofert.</w:t>
      </w:r>
    </w:p>
    <w:p w14:paraId="35653391" w14:textId="77777777" w:rsidR="00764964" w:rsidRPr="0083271E" w:rsidRDefault="00764964" w:rsidP="00764964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8. Informacja o oświadczeniach i dokumentach:</w:t>
      </w:r>
    </w:p>
    <w:p w14:paraId="067801AB" w14:textId="77777777" w:rsidR="00764964" w:rsidRPr="0083271E" w:rsidRDefault="00764964" w:rsidP="00764964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83271E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44E4B53E" w14:textId="77777777" w:rsidR="00764964" w:rsidRPr="0083271E" w:rsidRDefault="00764964" w:rsidP="00764964">
      <w:pPr>
        <w:spacing w:after="0" w:line="240" w:lineRule="auto"/>
        <w:ind w:right="180"/>
        <w:rPr>
          <w:rFonts w:cstheme="minorHAnsi"/>
        </w:rPr>
      </w:pPr>
      <w:r w:rsidRPr="0083271E">
        <w:rPr>
          <w:rFonts w:cstheme="minorHAnsi"/>
        </w:rPr>
        <w:t>1) Formularz oferty – sporządzony zgodnie z treścią załącznika nr 3 do rozeznania cenowego.</w:t>
      </w:r>
    </w:p>
    <w:p w14:paraId="7BBEA15A" w14:textId="77777777" w:rsidR="00884997" w:rsidRPr="00884997" w:rsidRDefault="00764964" w:rsidP="00884997">
      <w:pPr>
        <w:widowControl w:val="0"/>
        <w:spacing w:before="120" w:after="120" w:line="100" w:lineRule="atLeast"/>
        <w:jc w:val="both"/>
        <w:rPr>
          <w:rFonts w:cstheme="minorHAnsi"/>
          <w:color w:val="000000" w:themeColor="text1"/>
        </w:rPr>
      </w:pPr>
      <w:r w:rsidRPr="00884997">
        <w:rPr>
          <w:rFonts w:cstheme="minorHAnsi"/>
          <w:color w:val="000000" w:themeColor="text1"/>
        </w:rPr>
        <w:t xml:space="preserve">2) </w:t>
      </w:r>
      <w:r w:rsidR="00884997" w:rsidRPr="00884997">
        <w:rPr>
          <w:rFonts w:cstheme="minorHAnsi"/>
          <w:color w:val="000000" w:themeColor="text1"/>
        </w:rPr>
        <w:t xml:space="preserve">Dokument potwierdzający </w:t>
      </w:r>
      <w:r w:rsidR="00884997" w:rsidRPr="00884997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ukończenie studiów wyższych na kierunku psychologia -  kopię dyplomu osoby, która będzie realizowała przedmiot zamówienia lub </w:t>
      </w:r>
      <w:r w:rsidR="00884997" w:rsidRPr="00884997">
        <w:rPr>
          <w:rFonts w:cstheme="minorHAnsi"/>
          <w:color w:val="000000" w:themeColor="text1"/>
        </w:rPr>
        <w:t xml:space="preserve">dokument potwierdzający </w:t>
      </w:r>
      <w:r w:rsidR="00884997" w:rsidRPr="00884997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ukończenie studiów wyższych na kierunku psychologia oraz aktualny certyfikat psychoterapeuty osoby, która będzie realizowała przedmiot zamówienia . </w:t>
      </w:r>
    </w:p>
    <w:p w14:paraId="7C9CD014" w14:textId="290C7F00" w:rsidR="0083271E" w:rsidRPr="0083271E" w:rsidRDefault="00884997" w:rsidP="0076496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EE0000"/>
          <w:kern w:val="1"/>
          <w:lang w:eastAsia="ar-SA"/>
        </w:rPr>
      </w:pPr>
      <w:r>
        <w:rPr>
          <w:rFonts w:eastAsia="Calibri" w:cstheme="minorHAnsi"/>
          <w:bCs/>
          <w:kern w:val="1"/>
          <w:lang w:eastAsia="ar-SA"/>
        </w:rPr>
        <w:t>3</w:t>
      </w:r>
      <w:r w:rsidR="0083271E" w:rsidRPr="0083271E">
        <w:rPr>
          <w:rFonts w:eastAsia="Calibri" w:cstheme="minorHAnsi"/>
          <w:bCs/>
          <w:kern w:val="1"/>
          <w:lang w:eastAsia="ar-SA"/>
        </w:rPr>
        <w:t>) Dokumenty potwierdzające min. 2 letnie (24 miesięczne)  doświadczenie zawodowe osoby, która będzie realizowała przedmiot zamówienia np. referencje, świadectwa pracy, zaświadczenia, itp.</w:t>
      </w:r>
    </w:p>
    <w:p w14:paraId="5C02506F" w14:textId="0B2526DA" w:rsidR="0083271E" w:rsidRPr="00DF7594" w:rsidRDefault="00884997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t>4</w:t>
      </w:r>
      <w:r w:rsidR="0083271E" w:rsidRPr="00DF7594">
        <w:rPr>
          <w:rFonts w:eastAsia="Calibri" w:cstheme="minorHAnsi"/>
          <w:bCs/>
          <w:kern w:val="1"/>
          <w:lang w:eastAsia="ar-SA"/>
        </w:rPr>
        <w:t>) Aktualną informację z Rejestru Sprawców Przestępstw na Tle Seksualnym (Rejestru z dostępem ograniczonym) o niefigurowaniu w rejestrze osoby, która będzie realizowała przedmiot zamówienia.</w:t>
      </w:r>
    </w:p>
    <w:p w14:paraId="18592A68" w14:textId="3EC5C909" w:rsidR="0083271E" w:rsidRPr="00DF7594" w:rsidRDefault="00884997" w:rsidP="0083271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lastRenderedPageBreak/>
        <w:t>5</w:t>
      </w:r>
      <w:r w:rsidR="0083271E" w:rsidRPr="00DF7594">
        <w:rPr>
          <w:rFonts w:eastAsia="Calibri" w:cstheme="minorHAnsi"/>
          <w:bCs/>
          <w:kern w:val="1"/>
          <w:lang w:eastAsia="ar-SA"/>
        </w:rPr>
        <w:t>) Aktualne zaświadczenie o niekaralności z Krajowego Rejestru Karnego osoby, która będzie realizowała przedmiot zamówienia.</w:t>
      </w:r>
    </w:p>
    <w:p w14:paraId="37F8CF3A" w14:textId="2F9F6823" w:rsidR="00764964" w:rsidRPr="00DF7594" w:rsidRDefault="00884997" w:rsidP="0076496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DF7594">
        <w:rPr>
          <w:rFonts w:eastAsia="Calibri" w:cstheme="minorHAnsi"/>
          <w:bCs/>
          <w:kern w:val="1"/>
          <w:lang w:eastAsia="ar-SA"/>
        </w:rPr>
        <w:t>6</w:t>
      </w:r>
      <w:r w:rsidR="0083271E" w:rsidRPr="00DF7594">
        <w:rPr>
          <w:rFonts w:eastAsia="Calibri" w:cstheme="minorHAnsi"/>
          <w:bCs/>
          <w:kern w:val="1"/>
          <w:lang w:eastAsia="ar-SA"/>
        </w:rPr>
        <w:t xml:space="preserve">) Dodatkowo w przypadku osób posiadających obywatelstwo inne niż polskie oświadczenie w języku polskim lub zaświadczenie przetłumaczone na język polski przez tłumacza przysięgłego, o których mowa w ust. 5 pkt 1 lit. </w:t>
      </w:r>
      <w:r w:rsidR="00DF7594">
        <w:rPr>
          <w:rFonts w:eastAsia="Calibri" w:cstheme="minorHAnsi"/>
          <w:bCs/>
          <w:kern w:val="1"/>
          <w:lang w:eastAsia="ar-SA"/>
        </w:rPr>
        <w:t>e</w:t>
      </w:r>
      <w:r w:rsidR="0083271E" w:rsidRPr="00DF7594">
        <w:rPr>
          <w:rFonts w:eastAsia="Calibri" w:cstheme="minorHAnsi"/>
          <w:bCs/>
          <w:kern w:val="1"/>
          <w:lang w:eastAsia="ar-SA"/>
        </w:rPr>
        <w:t>).</w:t>
      </w:r>
    </w:p>
    <w:p w14:paraId="5F32A329" w14:textId="32A61A32" w:rsidR="00764964" w:rsidRPr="0083271E" w:rsidRDefault="00884997" w:rsidP="0076496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>
        <w:rPr>
          <w:rFonts w:eastAsia="Calibri" w:cstheme="minorHAnsi"/>
          <w:bCs/>
          <w:kern w:val="1"/>
          <w:lang w:eastAsia="ar-SA"/>
        </w:rPr>
        <w:t>7</w:t>
      </w:r>
      <w:r w:rsidR="00764964" w:rsidRPr="0083271E">
        <w:rPr>
          <w:rFonts w:eastAsia="Calibri" w:cstheme="minorHAnsi"/>
          <w:bCs/>
          <w:kern w:val="1"/>
          <w:lang w:eastAsia="ar-SA"/>
        </w:rPr>
        <w:t xml:space="preserve">) Dokument potwierdzający status podmiotu ekonomii społecznej </w:t>
      </w:r>
      <w:r w:rsidR="00764964" w:rsidRPr="0083271E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34AA337D" w14:textId="7C9E1D7E" w:rsidR="00764964" w:rsidRPr="0083271E" w:rsidRDefault="00884997" w:rsidP="00764964">
      <w:pPr>
        <w:spacing w:after="5" w:line="276" w:lineRule="auto"/>
        <w:ind w:right="14"/>
        <w:jc w:val="both"/>
        <w:rPr>
          <w:rFonts w:cstheme="minorHAnsi"/>
        </w:rPr>
      </w:pPr>
      <w:r>
        <w:rPr>
          <w:rFonts w:cstheme="minorHAnsi"/>
        </w:rPr>
        <w:t>8</w:t>
      </w:r>
      <w:r w:rsidR="00764964" w:rsidRPr="0083271E">
        <w:rPr>
          <w:rFonts w:cstheme="minorHAnsi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008602DA" w14:textId="77777777" w:rsidR="00764964" w:rsidRPr="0083271E" w:rsidRDefault="00764964" w:rsidP="00764964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83271E">
        <w:rPr>
          <w:rFonts w:eastAsia="Calibri" w:cstheme="minorHAnsi"/>
          <w:kern w:val="1"/>
          <w:u w:val="single"/>
          <w:lang w:eastAsia="ar-SA"/>
        </w:rPr>
        <w:t>9. Postanowienia końcowe:</w:t>
      </w:r>
    </w:p>
    <w:p w14:paraId="302820C4" w14:textId="77777777" w:rsidR="00764964" w:rsidRPr="0083271E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0E7DC232" w14:textId="77777777" w:rsidR="00764964" w:rsidRPr="0083271E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098F9F9E" w14:textId="77777777" w:rsidR="00764964" w:rsidRPr="0083271E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65EB2901" w14:textId="66509ADC" w:rsidR="00764964" w:rsidRPr="00884997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994B72">
        <w:rPr>
          <w:rFonts w:eastAsia="Calibri" w:cstheme="minorHAnsi"/>
          <w:bCs/>
          <w:kern w:val="1"/>
          <w:lang w:eastAsia="ar-SA"/>
        </w:rPr>
        <w:t xml:space="preserve">4) Zamawiający dopuszcza możliwość uzupełnienia oferty po terminie o dokumenty, </w:t>
      </w:r>
      <w:r w:rsidRPr="00884997">
        <w:rPr>
          <w:rFonts w:eastAsia="Calibri" w:cstheme="minorHAnsi"/>
          <w:bCs/>
          <w:color w:val="000000" w:themeColor="text1"/>
          <w:kern w:val="1"/>
          <w:lang w:eastAsia="ar-SA"/>
        </w:rPr>
        <w:t>o których mowa w ust. 8 pkt 2</w:t>
      </w:r>
      <w:r w:rsidR="0083271E" w:rsidRPr="00884997">
        <w:rPr>
          <w:rFonts w:eastAsia="Calibri" w:cstheme="minorHAnsi"/>
          <w:bCs/>
          <w:color w:val="000000" w:themeColor="text1"/>
          <w:kern w:val="1"/>
          <w:lang w:eastAsia="ar-SA"/>
        </w:rPr>
        <w:t>-</w:t>
      </w:r>
      <w:r w:rsidRPr="00884997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pkt </w:t>
      </w:r>
      <w:r w:rsidR="00884997" w:rsidRPr="00884997">
        <w:rPr>
          <w:rFonts w:eastAsia="Calibri" w:cstheme="minorHAnsi"/>
          <w:bCs/>
          <w:color w:val="000000" w:themeColor="text1"/>
          <w:kern w:val="1"/>
          <w:lang w:eastAsia="ar-SA"/>
        </w:rPr>
        <w:t>6</w:t>
      </w:r>
      <w:r w:rsidR="00A3545A" w:rsidRPr="00884997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przed podpisaniem umowy, w terminie wskazanym przez Zamawiającego</w:t>
      </w:r>
      <w:r w:rsidRPr="00884997">
        <w:rPr>
          <w:rFonts w:eastAsia="Calibri" w:cstheme="minorHAnsi"/>
          <w:bCs/>
          <w:color w:val="000000" w:themeColor="text1"/>
          <w:kern w:val="1"/>
          <w:lang w:eastAsia="ar-SA"/>
        </w:rPr>
        <w:t>.</w:t>
      </w:r>
    </w:p>
    <w:p w14:paraId="09910131" w14:textId="77777777" w:rsidR="00764964" w:rsidRPr="0083271E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1AE76D4D" w14:textId="77777777" w:rsidR="00764964" w:rsidRPr="0083271E" w:rsidRDefault="00764964" w:rsidP="00764964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3B58D4CD" w14:textId="77777777" w:rsidR="00764964" w:rsidRPr="0083271E" w:rsidRDefault="00764964" w:rsidP="0076496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83271E">
        <w:rPr>
          <w:rFonts w:eastAsia="Calibri" w:cstheme="minorHAnsi"/>
          <w:bCs/>
          <w:kern w:val="1"/>
          <w:lang w:eastAsia="ar-SA"/>
        </w:rPr>
        <w:t xml:space="preserve">7) 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49A7BA92" w14:textId="77777777" w:rsidR="00764964" w:rsidRPr="0083271E" w:rsidRDefault="00764964" w:rsidP="002D5A9A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2AD5F63" w14:textId="77777777" w:rsidR="00764964" w:rsidRPr="0083271E" w:rsidRDefault="00764964" w:rsidP="00764964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10312578" w14:textId="77777777" w:rsidR="00764964" w:rsidRPr="0083271E" w:rsidRDefault="00764964" w:rsidP="00764964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8773187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</w:t>
      </w:r>
      <w:r w:rsidRPr="0083271E">
        <w:rPr>
          <w:rFonts w:eastAsiaTheme="minorEastAsia" w:cstheme="minorHAnsi"/>
          <w:kern w:val="0"/>
          <w:lang w:eastAsia="pl-PL"/>
          <w14:ligatures w14:val="none"/>
        </w:rPr>
        <w:br/>
        <w:t xml:space="preserve">w Adamowie, Adamów 11b 22-442 Adamów, e-mail: </w:t>
      </w:r>
      <w:hyperlink r:id="rId8" w:history="1">
        <w:r w:rsidRPr="0083271E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83271E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1FB3E615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38E6588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3" w:name="_Hlk168559363"/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3"/>
    </w:p>
    <w:p w14:paraId="18D9EB33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7B20C05E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lastRenderedPageBreak/>
        <w:t xml:space="preserve">Państwa dane osobowe mogą być przekazane wyłącznie podmiotom, które uprawnione są do ich otrzymania na podstawie przepisów prawa. </w:t>
      </w:r>
    </w:p>
    <w:p w14:paraId="3280C2DF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10C0AE12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4AE29FD6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731AB087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61F31870" w14:textId="77777777" w:rsidR="00764964" w:rsidRPr="0083271E" w:rsidRDefault="00764964" w:rsidP="0076496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FAD2A9C" w14:textId="484D08D8" w:rsidR="002A05F4" w:rsidRPr="0083271E" w:rsidRDefault="00764964" w:rsidP="009E28E2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3271E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sectPr w:rsidR="002A05F4" w:rsidRPr="0083271E" w:rsidSect="00764964">
      <w:headerReference w:type="default" r:id="rId9"/>
      <w:footerReference w:type="default" r:id="rId10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F84D" w14:textId="77777777" w:rsidR="00420E4C" w:rsidRDefault="00420E4C">
      <w:pPr>
        <w:spacing w:after="0" w:line="240" w:lineRule="auto"/>
      </w:pPr>
      <w:r>
        <w:separator/>
      </w:r>
    </w:p>
  </w:endnote>
  <w:endnote w:type="continuationSeparator" w:id="0">
    <w:p w14:paraId="16F0B3B0" w14:textId="77777777" w:rsidR="00420E4C" w:rsidRDefault="0042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227C9036" w14:textId="77777777" w:rsidR="00764964" w:rsidRDefault="00764964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797CBB0C" wp14:editId="4120BD49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FB535B2" w14:textId="77777777" w:rsidR="00764964" w:rsidRDefault="00000000">
        <w:pPr>
          <w:pStyle w:val="Stopka"/>
          <w:jc w:val="right"/>
        </w:pPr>
      </w:p>
    </w:sdtContent>
  </w:sdt>
  <w:p w14:paraId="05D9AB7C" w14:textId="77777777" w:rsidR="00764964" w:rsidRDefault="00764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A01A" w14:textId="77777777" w:rsidR="00420E4C" w:rsidRDefault="00420E4C">
      <w:pPr>
        <w:spacing w:after="0" w:line="240" w:lineRule="auto"/>
      </w:pPr>
      <w:r>
        <w:separator/>
      </w:r>
    </w:p>
  </w:footnote>
  <w:footnote w:type="continuationSeparator" w:id="0">
    <w:p w14:paraId="412D7453" w14:textId="77777777" w:rsidR="00420E4C" w:rsidRDefault="0042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A8D1" w14:textId="77777777" w:rsidR="00764964" w:rsidRPr="002B14DF" w:rsidRDefault="00764964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4" w:name="_Hlk189607534"/>
    <w:bookmarkStart w:id="5" w:name="_Hlk189607535"/>
    <w:bookmarkStart w:id="6" w:name="_Hlk189607536"/>
    <w:bookmarkStart w:id="7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4E180AA1" w14:textId="77777777" w:rsidR="00764964" w:rsidRPr="002B14DF" w:rsidRDefault="00764964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0B5C9EE1" w14:textId="77777777" w:rsidR="00764964" w:rsidRDefault="00764964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8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8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4"/>
    <w:bookmarkEnd w:id="5"/>
    <w:bookmarkEnd w:id="6"/>
    <w:bookmarkEnd w:id="7"/>
  </w:p>
  <w:p w14:paraId="7B47CFC9" w14:textId="77777777" w:rsidR="00764964" w:rsidRDefault="00764964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3E3"/>
    <w:multiLevelType w:val="hybridMultilevel"/>
    <w:tmpl w:val="46DCD890"/>
    <w:lvl w:ilvl="0" w:tplc="90522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73C35"/>
    <w:multiLevelType w:val="hybridMultilevel"/>
    <w:tmpl w:val="7CF2C484"/>
    <w:lvl w:ilvl="0" w:tplc="147C38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0A0980"/>
    <w:multiLevelType w:val="hybridMultilevel"/>
    <w:tmpl w:val="F89870EA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F33887"/>
    <w:multiLevelType w:val="hybridMultilevel"/>
    <w:tmpl w:val="7B2CA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A20B30"/>
    <w:multiLevelType w:val="hybridMultilevel"/>
    <w:tmpl w:val="982C5492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BE66FF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7"/>
  </w:num>
  <w:num w:numId="2" w16cid:durableId="1421175259">
    <w:abstractNumId w:val="8"/>
  </w:num>
  <w:num w:numId="3" w16cid:durableId="99418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2"/>
  </w:num>
  <w:num w:numId="5" w16cid:durableId="1077631503">
    <w:abstractNumId w:val="1"/>
  </w:num>
  <w:num w:numId="6" w16cid:durableId="1770344721">
    <w:abstractNumId w:val="5"/>
  </w:num>
  <w:num w:numId="7" w16cid:durableId="668480030">
    <w:abstractNumId w:val="0"/>
  </w:num>
  <w:num w:numId="8" w16cid:durableId="661783499">
    <w:abstractNumId w:val="4"/>
  </w:num>
  <w:num w:numId="9" w16cid:durableId="150019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4"/>
    <w:rsid w:val="000671C5"/>
    <w:rsid w:val="00074992"/>
    <w:rsid w:val="00090756"/>
    <w:rsid w:val="000F558F"/>
    <w:rsid w:val="00134916"/>
    <w:rsid w:val="002A05F4"/>
    <w:rsid w:val="002A6A25"/>
    <w:rsid w:val="002D5A9A"/>
    <w:rsid w:val="002F7CFA"/>
    <w:rsid w:val="003412E0"/>
    <w:rsid w:val="003B2821"/>
    <w:rsid w:val="00420E4C"/>
    <w:rsid w:val="00446D63"/>
    <w:rsid w:val="0050167C"/>
    <w:rsid w:val="005544EE"/>
    <w:rsid w:val="0057556F"/>
    <w:rsid w:val="00587BA8"/>
    <w:rsid w:val="00594775"/>
    <w:rsid w:val="005A2191"/>
    <w:rsid w:val="0066604A"/>
    <w:rsid w:val="00681310"/>
    <w:rsid w:val="006939BC"/>
    <w:rsid w:val="006B56BB"/>
    <w:rsid w:val="00764964"/>
    <w:rsid w:val="007A3345"/>
    <w:rsid w:val="007B23C3"/>
    <w:rsid w:val="00815A8D"/>
    <w:rsid w:val="0083271E"/>
    <w:rsid w:val="00884997"/>
    <w:rsid w:val="00887C30"/>
    <w:rsid w:val="00994B72"/>
    <w:rsid w:val="009A42C7"/>
    <w:rsid w:val="009C61E4"/>
    <w:rsid w:val="009E28E2"/>
    <w:rsid w:val="00A3545A"/>
    <w:rsid w:val="00A94D0E"/>
    <w:rsid w:val="00B36C10"/>
    <w:rsid w:val="00B45136"/>
    <w:rsid w:val="00BA33B4"/>
    <w:rsid w:val="00C5534A"/>
    <w:rsid w:val="00D07614"/>
    <w:rsid w:val="00D66046"/>
    <w:rsid w:val="00DA3C18"/>
    <w:rsid w:val="00DA78CB"/>
    <w:rsid w:val="00DF0C3C"/>
    <w:rsid w:val="00DF7594"/>
    <w:rsid w:val="00F3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FFD"/>
  <w15:chartTrackingRefBased/>
  <w15:docId w15:val="{3A42AFD1-3E70-4F13-B551-6F2FA836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9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9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9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9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9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76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4964"/>
  </w:style>
  <w:style w:type="paragraph" w:styleId="Stopka">
    <w:name w:val="footer"/>
    <w:basedOn w:val="Normalny"/>
    <w:link w:val="StopkaZnak"/>
    <w:uiPriority w:val="99"/>
    <w:semiHidden/>
    <w:unhideWhenUsed/>
    <w:rsid w:val="0076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4964"/>
  </w:style>
  <w:style w:type="table" w:styleId="Tabela-Siatka">
    <w:name w:val="Table Grid"/>
    <w:basedOn w:val="Standardowy"/>
    <w:uiPriority w:val="39"/>
    <w:rsid w:val="0076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2F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5EFA-151D-49CA-AC19-C8FB0999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2824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21</cp:revision>
  <cp:lastPrinted>2026-04-28T09:22:00Z</cp:lastPrinted>
  <dcterms:created xsi:type="dcterms:W3CDTF">2026-04-20T09:43:00Z</dcterms:created>
  <dcterms:modified xsi:type="dcterms:W3CDTF">2026-05-07T07:51:00Z</dcterms:modified>
</cp:coreProperties>
</file>